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2025 208 vom 6. November 2025</w:t>
      </w:r>
    </w:p>
    <w:p>
      <w:r>
        <w:t>BL Gerichte, 2025-11-06, DE</w:t>
      </w:r>
    </w:p>
    <w:p>
      <w:r>
        <w:rPr>
          <w:b/>
        </w:rPr>
        <w:t xml:space="preserve">Quelle: </w:t>
      </w:r>
      <w:r>
        <w:t>https://mcp.opencaselaw.ch/entscheid/bl_gerichte_731 2025 208</w:t>
      </w:r>
    </w:p>
    <w:p>
      <w:r>
        <w:t>FR: BL_GERICHTE 731 2025 208 du 6 novembre 2025</w:t>
      </w:r>
    </w:p>
    <w:p>
      <w:r>
        <w:t>IT: BL_GERICHTE 731 2025 208 del 6 novembre 2025</w:t>
      </w:r>
    </w:p>
    <w:p>
      <w:pPr>
        <w:pStyle w:val="Heading2"/>
      </w:pPr>
      <w:r>
        <w:t>Regeste</w:t>
      </w:r>
    </w:p>
    <w:p>
      <w:r>
        <w:t>Hauptbeweis für die Arbeitsunfähigkeit erbracht; Gegenbeweis nicht gelungen; Anspruch auf Krankentaggelder bejaht.</w:t>
      </w:r>
    </w:p>
    <w:p>
      <w:pPr>
        <w:pStyle w:val="Heading2"/>
      </w:pPr>
      <w:r>
        <w:t>Erwägungen</w:t>
      </w:r>
    </w:p>
    <w:p>
      <w:r>
        <w:rPr>
          <w:b/>
        </w:rPr>
        <w:t>E. 8</w:t>
      </w:r>
    </w:p>
    <w:p>
      <w:r>
        <w:t>Gestützt auf die vorstehenden Erwägungen hat die Klägerin den Beweis für die von ihr behauptete vollständige Arbeitsunfähigkeit für die Zeit vom 15. Februar 2024 bis zum 30. September 2024 erbracht. Diesen Beweis vermag die Beklagte gestützt auf die von ihr veranlassten medizinischen Beurteilungen nicht zu erschüttern. Ihre Vermutung, wonach die beantragten Leistungen aufgrund der zeitlichen Platzierung der geltend gemachten Arbeitsunfähigkeit zwischen zwei Mutterschaften primär der finanziellen Überbrückung gedient haben könnten, ist weder belegt noch begründet und erweist sich als rein spekulativ. Demzufolge hat die Beklagte der Klägerin für die Zeit vom 15. Februar 2024 bis 30. September 2024 insgesamt 229 Taggelder auszurichten. Die Höhe des Krankentaggelds beträgt bei einer vollen Arbeitsunfähigkeit vorliegend unbestritten Fr. 123.60. Damit hat die Beklagte der Klägerin einen Betrag in der Höhe von Fr. 28'304.40 (229 Tage x Fr. 123.60) zu bezahlen.</w:t>
      </w:r>
    </w:p>
    <w:p>
      <w:r>
        <w:rPr>
          <w:b/>
        </w:rPr>
        <w:t>E. 9</w:t>
      </w:r>
    </w:p>
    <w:p>
      <w:r>
        <w:t>Die Klägerin beantragt die Verzinsung ihrer Forderung zu 5 % (mittlerer Verfall) seit 15. Februar 2024. Die Beklagte bestreitet im vorliegenden Verfahren weder den Zeitpunkt noch die Höhe des geltend gemachten Verzugszinses. Unter diesen Umständen hat sie der Klägerin einen Betrag von Fr. 28'304.40 zuzüglich Verzugszins von 5 % seit dem 15. Februar 2024 (mittlerer Verfall) zu bezahlen. Bei diesem Ergebnis ist die Klage gutzuheissen. 10.1 Der im vorliegenden Verfahren anwendbare Art. 114 lit. e ZPO bestimmt, dass das Verfahren vor dem kantonalen Versicherungsgericht für die Parteien kostenlos zu sein hat. Von der Erhebung von Verfahrenskosten ist deshalb abzusehen. 10.2 Die Klägerin ist mit ihrem Leistungsbegehren durchgedrungen und hat folglich gemäss Art. 106 Abs. 1 ZPO Anspruch auf Ausrichtung einer Parteientschädigung zulasten der Beklagten. Der Rechtsvertreter der Klägerin macht in der Honorarnote vom 6. November 2025 für das vorliegende Klageverfahren einen Zeitaufwand von 24 Stunden à Fr. 250.-- und Auslagen von insgesamt Fr. 99.10 zuzüglich Mehrwertsteuer geltend. Zu beachten ist, dass die Hauptverhandlung 1 Stunde und 30 Minuten dauerte, weshalb die Position Hauptverhandlung von 3 Stunden 20 Minuten entsprechend zu kürzen ist. Damit resultiert ein entschädigungsberechtigter Aufwand von 22 Stunden 10 Minuten resultiert. Dementsprechend hat die Beklagte der Klägerin eine Parteientschädigung in der Höhe von Fr. 6'097.65 (22,166 Stunden à Fr. 250.-- + Auslagen von Fr. 99.10 zuzüglich 8,1 % Mehrwertsteuer) zu bezahlen. Demgemäss wird e r k a n n t : ://: 1. Die Klage wird gutgeheissen und die Beklagte verpflichtet, der Klägerin Fr. 28'304.40 zuzüglich Zins zu 5 % seit 15. Februar 2024 zu bezahlen. 2. Es werden keine Verfahrenskosten erhoben. 3. Die Beklagte hat der Klägerin eine Parteientschädigung in der Höhe von Fr. 6'097.65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